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Ind w:w="3794" w:type="dxa"/>
        <w:tblLook w:val="04A0" w:firstRow="1" w:lastRow="0" w:firstColumn="1" w:lastColumn="0" w:noHBand="0" w:noVBand="1"/>
      </w:tblPr>
      <w:tblGrid>
        <w:gridCol w:w="4995"/>
      </w:tblGrid>
      <w:tr w:rsidR="00CA490C" w:rsidTr="00CA490C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CA490C" w:rsidRDefault="00CA490C" w:rsidP="00CA490C">
            <w:pPr>
              <w:widowControl w:val="0"/>
              <w:shd w:val="clear" w:color="auto" w:fill="FFFFFF"/>
              <w:tabs>
                <w:tab w:val="num" w:pos="1418"/>
              </w:tabs>
              <w:autoSpaceDE w:val="0"/>
              <w:autoSpaceDN w:val="0"/>
              <w:adjustRightInd w:val="0"/>
              <w:ind w:firstLine="720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П</w:t>
            </w:r>
            <w:r w:rsidRPr="0051246E">
              <w:rPr>
                <w:spacing w:val="-1"/>
                <w:sz w:val="24"/>
                <w:szCs w:val="24"/>
              </w:rPr>
              <w:t xml:space="preserve">риложение </w:t>
            </w:r>
            <w:r>
              <w:rPr>
                <w:spacing w:val="-1"/>
                <w:sz w:val="24"/>
                <w:szCs w:val="24"/>
              </w:rPr>
              <w:t>№ 5</w:t>
            </w:r>
          </w:p>
          <w:p w:rsidR="00CA490C" w:rsidRDefault="00CA490C" w:rsidP="00CA490C">
            <w:pPr>
              <w:jc w:val="center"/>
              <w:rPr>
                <w:sz w:val="24"/>
                <w:szCs w:val="24"/>
              </w:rPr>
            </w:pPr>
            <w:r w:rsidRPr="00BC2D84">
              <w:rPr>
                <w:sz w:val="24"/>
                <w:szCs w:val="24"/>
              </w:rPr>
              <w:t>к Положению о процедуре проведения конкурса</w:t>
            </w:r>
          </w:p>
          <w:p w:rsidR="00CA490C" w:rsidRDefault="00CA490C" w:rsidP="00CA490C">
            <w:pPr>
              <w:jc w:val="center"/>
              <w:rPr>
                <w:sz w:val="24"/>
                <w:szCs w:val="24"/>
              </w:rPr>
            </w:pPr>
            <w:r w:rsidRPr="00BC2D84">
              <w:rPr>
                <w:sz w:val="24"/>
                <w:szCs w:val="24"/>
              </w:rPr>
              <w:t>на присуждение премий лучшим учителям</w:t>
            </w:r>
          </w:p>
          <w:p w:rsidR="00CA490C" w:rsidRPr="00BC2D84" w:rsidRDefault="00CA490C" w:rsidP="00CA490C">
            <w:pPr>
              <w:jc w:val="center"/>
              <w:rPr>
                <w:sz w:val="24"/>
                <w:szCs w:val="24"/>
              </w:rPr>
            </w:pPr>
            <w:r w:rsidRPr="00BC2D84">
              <w:rPr>
                <w:sz w:val="24"/>
                <w:szCs w:val="24"/>
              </w:rPr>
              <w:t xml:space="preserve">за достижения в педагогической деятельности </w:t>
            </w:r>
            <w:r w:rsidRPr="00BC2D84">
              <w:rPr>
                <w:sz w:val="24"/>
                <w:szCs w:val="24"/>
              </w:rPr>
              <w:br/>
              <w:t xml:space="preserve">в Кабардино-Балкарской Республике </w:t>
            </w:r>
            <w:r>
              <w:rPr>
                <w:sz w:val="24"/>
                <w:szCs w:val="24"/>
              </w:rPr>
              <w:br/>
            </w:r>
            <w:r w:rsidRPr="00BC2D84">
              <w:rPr>
                <w:sz w:val="24"/>
                <w:szCs w:val="24"/>
              </w:rPr>
              <w:t xml:space="preserve">в </w:t>
            </w:r>
            <w:r w:rsidR="0044389C">
              <w:rPr>
                <w:sz w:val="24"/>
                <w:szCs w:val="24"/>
              </w:rPr>
              <w:t>2025</w:t>
            </w:r>
            <w:r w:rsidRPr="00BC2D84">
              <w:rPr>
                <w:sz w:val="24"/>
                <w:szCs w:val="24"/>
              </w:rPr>
              <w:t xml:space="preserve"> году</w:t>
            </w:r>
          </w:p>
          <w:p w:rsidR="00CA490C" w:rsidRDefault="00CA490C" w:rsidP="00EC69A3">
            <w:pPr>
              <w:widowControl w:val="0"/>
              <w:tabs>
                <w:tab w:val="num" w:pos="1418"/>
              </w:tabs>
              <w:autoSpaceDE w:val="0"/>
              <w:autoSpaceDN w:val="0"/>
              <w:adjustRightInd w:val="0"/>
              <w:jc w:val="right"/>
              <w:rPr>
                <w:spacing w:val="-1"/>
                <w:sz w:val="24"/>
                <w:szCs w:val="24"/>
              </w:rPr>
            </w:pPr>
          </w:p>
        </w:tc>
      </w:tr>
    </w:tbl>
    <w:p w:rsidR="00CA490C" w:rsidRDefault="00CA490C" w:rsidP="00EC69A3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ind w:firstLine="720"/>
        <w:jc w:val="right"/>
        <w:rPr>
          <w:spacing w:val="-1"/>
          <w:sz w:val="24"/>
          <w:szCs w:val="24"/>
        </w:rPr>
      </w:pPr>
    </w:p>
    <w:p w:rsidR="00EC69A3" w:rsidRPr="00407E84" w:rsidRDefault="00073800" w:rsidP="00EC69A3">
      <w:pPr>
        <w:jc w:val="center"/>
        <w:rPr>
          <w:b/>
          <w:sz w:val="28"/>
          <w:szCs w:val="28"/>
        </w:rPr>
      </w:pPr>
      <w:r w:rsidRPr="00407E84">
        <w:rPr>
          <w:b/>
          <w:sz w:val="28"/>
          <w:szCs w:val="28"/>
        </w:rPr>
        <w:t>П</w:t>
      </w:r>
      <w:r w:rsidR="00EC69A3" w:rsidRPr="00407E84">
        <w:rPr>
          <w:b/>
          <w:sz w:val="28"/>
          <w:szCs w:val="28"/>
        </w:rPr>
        <w:t>ОРЯДОК</w:t>
      </w:r>
    </w:p>
    <w:p w:rsidR="00EC69A3" w:rsidRPr="00407E84" w:rsidRDefault="00073800" w:rsidP="00EC69A3">
      <w:pPr>
        <w:jc w:val="center"/>
        <w:rPr>
          <w:b/>
          <w:sz w:val="28"/>
          <w:szCs w:val="28"/>
        </w:rPr>
      </w:pPr>
      <w:r w:rsidRPr="00407E84">
        <w:rPr>
          <w:b/>
          <w:sz w:val="28"/>
          <w:szCs w:val="28"/>
        </w:rPr>
        <w:t xml:space="preserve"> проведения очных презентаций </w:t>
      </w:r>
      <w:r w:rsidR="00EC69A3" w:rsidRPr="00407E84">
        <w:rPr>
          <w:b/>
          <w:sz w:val="28"/>
          <w:szCs w:val="28"/>
        </w:rPr>
        <w:t xml:space="preserve">участников конкурса </w:t>
      </w:r>
      <w:bookmarkStart w:id="0" w:name="_GoBack"/>
      <w:bookmarkEnd w:id="0"/>
      <w:r w:rsidR="00EC69A3" w:rsidRPr="00407E84">
        <w:rPr>
          <w:b/>
          <w:sz w:val="28"/>
          <w:szCs w:val="28"/>
        </w:rPr>
        <w:br/>
      </w:r>
      <w:r w:rsidRPr="00407E84">
        <w:rPr>
          <w:b/>
          <w:sz w:val="28"/>
          <w:szCs w:val="28"/>
        </w:rPr>
        <w:t xml:space="preserve">на присуждение премий лучшим учителям за достижения </w:t>
      </w:r>
      <w:r w:rsidR="00EC69A3" w:rsidRPr="00407E84">
        <w:rPr>
          <w:b/>
          <w:sz w:val="28"/>
          <w:szCs w:val="28"/>
        </w:rPr>
        <w:br/>
      </w:r>
      <w:r w:rsidRPr="00407E84">
        <w:rPr>
          <w:b/>
          <w:sz w:val="28"/>
          <w:szCs w:val="28"/>
        </w:rPr>
        <w:t xml:space="preserve">в педагогической деятельности </w:t>
      </w:r>
    </w:p>
    <w:p w:rsidR="00073800" w:rsidRPr="00407E84" w:rsidRDefault="00EC69A3" w:rsidP="00EC69A3">
      <w:pPr>
        <w:jc w:val="center"/>
        <w:rPr>
          <w:b/>
          <w:sz w:val="28"/>
          <w:szCs w:val="28"/>
        </w:rPr>
      </w:pPr>
      <w:r w:rsidRPr="00407E84">
        <w:rPr>
          <w:b/>
          <w:sz w:val="28"/>
          <w:szCs w:val="28"/>
        </w:rPr>
        <w:t>в</w:t>
      </w:r>
      <w:r w:rsidR="00073800" w:rsidRPr="00407E84">
        <w:rPr>
          <w:b/>
          <w:sz w:val="28"/>
          <w:szCs w:val="28"/>
        </w:rPr>
        <w:t xml:space="preserve"> Кабардино-Балкарской Республик</w:t>
      </w:r>
      <w:r w:rsidRPr="00407E84">
        <w:rPr>
          <w:b/>
          <w:sz w:val="28"/>
          <w:szCs w:val="28"/>
        </w:rPr>
        <w:t>е</w:t>
      </w:r>
      <w:r w:rsidR="00073800" w:rsidRPr="00407E84">
        <w:rPr>
          <w:b/>
          <w:sz w:val="28"/>
          <w:szCs w:val="28"/>
        </w:rPr>
        <w:t xml:space="preserve"> в </w:t>
      </w:r>
      <w:r w:rsidR="0044389C">
        <w:rPr>
          <w:b/>
          <w:sz w:val="28"/>
          <w:szCs w:val="28"/>
        </w:rPr>
        <w:t>2025</w:t>
      </w:r>
      <w:r w:rsidR="00073800" w:rsidRPr="00407E84">
        <w:rPr>
          <w:b/>
          <w:sz w:val="28"/>
          <w:szCs w:val="28"/>
        </w:rPr>
        <w:t xml:space="preserve"> году</w:t>
      </w:r>
    </w:p>
    <w:p w:rsidR="00073800" w:rsidRPr="00407E84" w:rsidRDefault="00073800" w:rsidP="00EC69A3">
      <w:pPr>
        <w:jc w:val="center"/>
        <w:rPr>
          <w:b/>
          <w:sz w:val="27"/>
          <w:szCs w:val="27"/>
        </w:rPr>
      </w:pPr>
    </w:p>
    <w:p w:rsidR="00073800" w:rsidRPr="00407E84" w:rsidRDefault="00073800" w:rsidP="00EC69A3">
      <w:pPr>
        <w:numPr>
          <w:ilvl w:val="0"/>
          <w:numId w:val="2"/>
        </w:numPr>
        <w:tabs>
          <w:tab w:val="left" w:pos="993"/>
        </w:tabs>
        <w:ind w:firstLine="709"/>
        <w:jc w:val="both"/>
        <w:rPr>
          <w:sz w:val="27"/>
          <w:szCs w:val="27"/>
        </w:rPr>
      </w:pPr>
      <w:r w:rsidRPr="00407E84">
        <w:rPr>
          <w:sz w:val="27"/>
          <w:szCs w:val="27"/>
        </w:rPr>
        <w:t>Формат: устное представление участником конкурса собственного профессионального опыта, применения им современных образовательных технологий и их результативности.</w:t>
      </w:r>
    </w:p>
    <w:p w:rsidR="00073800" w:rsidRPr="00407E84" w:rsidRDefault="00073800" w:rsidP="00EC69A3">
      <w:pPr>
        <w:numPr>
          <w:ilvl w:val="0"/>
          <w:numId w:val="2"/>
        </w:numPr>
        <w:tabs>
          <w:tab w:val="left" w:pos="993"/>
        </w:tabs>
        <w:ind w:firstLine="709"/>
        <w:jc w:val="both"/>
        <w:rPr>
          <w:sz w:val="27"/>
          <w:szCs w:val="27"/>
        </w:rPr>
      </w:pPr>
      <w:r w:rsidRPr="00407E84">
        <w:rPr>
          <w:sz w:val="27"/>
          <w:szCs w:val="27"/>
        </w:rPr>
        <w:t>Общее время, отводимое на выступление и дискуссию – 15 минут.</w:t>
      </w:r>
    </w:p>
    <w:p w:rsidR="00073800" w:rsidRPr="00407E84" w:rsidRDefault="00073800" w:rsidP="00EC69A3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407E84">
        <w:rPr>
          <w:sz w:val="27"/>
          <w:szCs w:val="27"/>
        </w:rPr>
        <w:t>Из них:  10 минут отводится на выступление конкурсанта,</w:t>
      </w:r>
    </w:p>
    <w:p w:rsidR="00073800" w:rsidRPr="00407E84" w:rsidRDefault="00073800" w:rsidP="00EC69A3">
      <w:pPr>
        <w:tabs>
          <w:tab w:val="left" w:pos="993"/>
        </w:tabs>
        <w:ind w:left="708" w:firstLine="709"/>
        <w:jc w:val="both"/>
        <w:rPr>
          <w:sz w:val="27"/>
          <w:szCs w:val="27"/>
        </w:rPr>
      </w:pPr>
      <w:r w:rsidRPr="00407E84">
        <w:rPr>
          <w:sz w:val="27"/>
          <w:szCs w:val="27"/>
        </w:rPr>
        <w:t xml:space="preserve">     5 минут - на дискуссию с членами конкурсной комиссии.</w:t>
      </w:r>
    </w:p>
    <w:p w:rsidR="00073800" w:rsidRPr="00407E84" w:rsidRDefault="00073800" w:rsidP="00EC69A3">
      <w:pPr>
        <w:numPr>
          <w:ilvl w:val="0"/>
          <w:numId w:val="2"/>
        </w:numPr>
        <w:tabs>
          <w:tab w:val="left" w:pos="993"/>
        </w:tabs>
        <w:ind w:firstLine="709"/>
        <w:jc w:val="both"/>
        <w:rPr>
          <w:sz w:val="27"/>
          <w:szCs w:val="27"/>
        </w:rPr>
      </w:pPr>
      <w:r w:rsidRPr="00407E84">
        <w:rPr>
          <w:sz w:val="27"/>
          <w:szCs w:val="27"/>
        </w:rPr>
        <w:t>В ходе выступления конкурсант должен в максимально информативной и аргументированной форме продемонстрировать систему методической работы, применяемой учителем в учебном и воспитательном процессах.</w:t>
      </w:r>
    </w:p>
    <w:p w:rsidR="00073800" w:rsidRPr="00407E84" w:rsidRDefault="00073800" w:rsidP="00EC69A3">
      <w:pPr>
        <w:numPr>
          <w:ilvl w:val="0"/>
          <w:numId w:val="2"/>
        </w:numPr>
        <w:tabs>
          <w:tab w:val="left" w:pos="993"/>
        </w:tabs>
        <w:ind w:firstLine="709"/>
        <w:jc w:val="both"/>
        <w:rPr>
          <w:sz w:val="27"/>
          <w:szCs w:val="27"/>
        </w:rPr>
      </w:pPr>
      <w:r w:rsidRPr="00407E84">
        <w:rPr>
          <w:sz w:val="27"/>
          <w:szCs w:val="27"/>
        </w:rPr>
        <w:t xml:space="preserve">Презентация может включать фрагменты уроков, </w:t>
      </w:r>
      <w:proofErr w:type="spellStart"/>
      <w:r w:rsidRPr="00407E84">
        <w:rPr>
          <w:sz w:val="27"/>
          <w:szCs w:val="27"/>
        </w:rPr>
        <w:t>внеучебных</w:t>
      </w:r>
      <w:proofErr w:type="spellEnd"/>
      <w:r w:rsidRPr="00407E84">
        <w:rPr>
          <w:sz w:val="27"/>
          <w:szCs w:val="27"/>
        </w:rPr>
        <w:t xml:space="preserve"> мероприятий, раскрывающих суть применяемых инновационных подходов и их результативность.</w:t>
      </w:r>
    </w:p>
    <w:p w:rsidR="00073800" w:rsidRPr="00407E84" w:rsidRDefault="00073800" w:rsidP="00EC69A3">
      <w:pPr>
        <w:numPr>
          <w:ilvl w:val="0"/>
          <w:numId w:val="2"/>
        </w:numPr>
        <w:tabs>
          <w:tab w:val="left" w:pos="993"/>
        </w:tabs>
        <w:ind w:firstLine="709"/>
        <w:jc w:val="both"/>
        <w:rPr>
          <w:sz w:val="27"/>
          <w:szCs w:val="27"/>
        </w:rPr>
      </w:pPr>
      <w:r w:rsidRPr="00407E84">
        <w:rPr>
          <w:sz w:val="27"/>
          <w:szCs w:val="27"/>
        </w:rPr>
        <w:t xml:space="preserve">Выступление участника конкурса может сопровождаться компьютерными презентациями, фрагментами фильмов, таблицами графиками и диаграммами. Демонстрация иллюстративного материала </w:t>
      </w:r>
      <w:r w:rsidR="00EC69A3" w:rsidRPr="00407E84">
        <w:rPr>
          <w:sz w:val="27"/>
          <w:szCs w:val="27"/>
        </w:rPr>
        <w:br/>
      </w:r>
      <w:r w:rsidRPr="00407E84">
        <w:rPr>
          <w:sz w:val="27"/>
          <w:szCs w:val="27"/>
        </w:rPr>
        <w:t>не увеличивает время, отведенное участнику конкурса на выступление.</w:t>
      </w:r>
    </w:p>
    <w:p w:rsidR="00073800" w:rsidRPr="00407E84" w:rsidRDefault="00073800" w:rsidP="00EC69A3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407E84">
        <w:rPr>
          <w:sz w:val="27"/>
          <w:szCs w:val="27"/>
        </w:rPr>
        <w:t>Условия для представления указанных материалов обеспечиваются конкурсной комиссией.</w:t>
      </w:r>
    </w:p>
    <w:p w:rsidR="00073800" w:rsidRPr="00407E84" w:rsidRDefault="00073800" w:rsidP="00EC69A3">
      <w:pPr>
        <w:numPr>
          <w:ilvl w:val="0"/>
          <w:numId w:val="2"/>
        </w:numPr>
        <w:tabs>
          <w:tab w:val="left" w:pos="993"/>
        </w:tabs>
        <w:ind w:firstLine="709"/>
        <w:jc w:val="both"/>
        <w:rPr>
          <w:sz w:val="27"/>
          <w:szCs w:val="27"/>
        </w:rPr>
      </w:pPr>
      <w:r w:rsidRPr="00407E84">
        <w:rPr>
          <w:sz w:val="27"/>
          <w:szCs w:val="27"/>
        </w:rPr>
        <w:t>Критерии оценивания: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096"/>
        <w:gridCol w:w="708"/>
        <w:gridCol w:w="709"/>
        <w:gridCol w:w="709"/>
      </w:tblGrid>
      <w:tr w:rsidR="00407E84" w:rsidRPr="00407E84" w:rsidTr="00EC69A3">
        <w:tc>
          <w:tcPr>
            <w:tcW w:w="567" w:type="dxa"/>
            <w:shd w:val="clear" w:color="auto" w:fill="auto"/>
          </w:tcPr>
          <w:p w:rsidR="00073800" w:rsidRPr="00407E84" w:rsidRDefault="00073800" w:rsidP="00EC69A3">
            <w:pPr>
              <w:jc w:val="center"/>
              <w:rPr>
                <w:b/>
                <w:sz w:val="24"/>
                <w:szCs w:val="24"/>
              </w:rPr>
            </w:pPr>
            <w:r w:rsidRPr="00407E84">
              <w:rPr>
                <w:b/>
                <w:sz w:val="24"/>
                <w:szCs w:val="24"/>
              </w:rPr>
              <w:t>№</w:t>
            </w:r>
          </w:p>
          <w:p w:rsidR="00073800" w:rsidRPr="00407E84" w:rsidRDefault="00073800" w:rsidP="00EC69A3">
            <w:pPr>
              <w:jc w:val="center"/>
              <w:rPr>
                <w:b/>
                <w:sz w:val="24"/>
                <w:szCs w:val="24"/>
              </w:rPr>
            </w:pPr>
            <w:r w:rsidRPr="00407E84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b/>
                <w:sz w:val="24"/>
                <w:szCs w:val="24"/>
              </w:rPr>
            </w:pPr>
            <w:r w:rsidRPr="00407E84">
              <w:rPr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b/>
                <w:sz w:val="24"/>
                <w:szCs w:val="24"/>
              </w:rPr>
            </w:pPr>
            <w:r w:rsidRPr="00407E84">
              <w:rPr>
                <w:b/>
                <w:sz w:val="24"/>
                <w:szCs w:val="24"/>
              </w:rPr>
              <w:t>Результаты оценивания (баллы)</w:t>
            </w:r>
          </w:p>
        </w:tc>
      </w:tr>
      <w:tr w:rsidR="00407E84" w:rsidRPr="00407E84" w:rsidTr="00EC69A3">
        <w:tc>
          <w:tcPr>
            <w:tcW w:w="567" w:type="dxa"/>
            <w:shd w:val="clear" w:color="auto" w:fill="auto"/>
          </w:tcPr>
          <w:p w:rsidR="00073800" w:rsidRPr="00407E84" w:rsidRDefault="00073800" w:rsidP="00626021">
            <w:pPr>
              <w:numPr>
                <w:ilvl w:val="0"/>
                <w:numId w:val="1"/>
              </w:numPr>
              <w:tabs>
                <w:tab w:val="clear" w:pos="720"/>
                <w:tab w:val="num" w:pos="96"/>
              </w:tabs>
              <w:ind w:left="96" w:hanging="96"/>
              <w:jc w:val="center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073800" w:rsidRPr="00407E84" w:rsidRDefault="00073800" w:rsidP="00EC69A3">
            <w:pPr>
              <w:jc w:val="both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Умение обоснованно и результативно применять инновационные технологии в своей профессиональной деятельности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5</w:t>
            </w:r>
          </w:p>
        </w:tc>
      </w:tr>
      <w:tr w:rsidR="00407E84" w:rsidRPr="00407E84" w:rsidTr="00EC69A3">
        <w:tc>
          <w:tcPr>
            <w:tcW w:w="567" w:type="dxa"/>
            <w:shd w:val="clear" w:color="auto" w:fill="auto"/>
          </w:tcPr>
          <w:p w:rsidR="00073800" w:rsidRPr="00407E84" w:rsidRDefault="00073800" w:rsidP="00EC69A3">
            <w:pPr>
              <w:numPr>
                <w:ilvl w:val="0"/>
                <w:numId w:val="1"/>
              </w:numPr>
              <w:tabs>
                <w:tab w:val="clear" w:pos="720"/>
                <w:tab w:val="num" w:pos="96"/>
              </w:tabs>
              <w:ind w:left="96" w:hanging="96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073800" w:rsidRPr="00407E84" w:rsidRDefault="00073800" w:rsidP="00EC69A3">
            <w:pPr>
              <w:jc w:val="both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Качество иллюстративного материала, его  оправданность и гармоничность по отношению к тексту выступления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3</w:t>
            </w:r>
          </w:p>
        </w:tc>
      </w:tr>
      <w:tr w:rsidR="00407E84" w:rsidRPr="00407E84" w:rsidTr="00EC69A3">
        <w:tc>
          <w:tcPr>
            <w:tcW w:w="567" w:type="dxa"/>
            <w:shd w:val="clear" w:color="auto" w:fill="auto"/>
          </w:tcPr>
          <w:p w:rsidR="00073800" w:rsidRPr="00407E84" w:rsidRDefault="00073800" w:rsidP="00EC69A3">
            <w:pPr>
              <w:numPr>
                <w:ilvl w:val="0"/>
                <w:numId w:val="1"/>
              </w:numPr>
              <w:tabs>
                <w:tab w:val="clear" w:pos="720"/>
                <w:tab w:val="num" w:pos="96"/>
              </w:tabs>
              <w:ind w:left="96" w:hanging="96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.</w:t>
            </w:r>
          </w:p>
        </w:tc>
        <w:tc>
          <w:tcPr>
            <w:tcW w:w="6096" w:type="dxa"/>
            <w:shd w:val="clear" w:color="auto" w:fill="auto"/>
          </w:tcPr>
          <w:p w:rsidR="00073800" w:rsidRPr="00407E84" w:rsidRDefault="00073800" w:rsidP="00EC69A3">
            <w:pPr>
              <w:jc w:val="both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Знание и понимание современных тенденций развития образования, профессиональная эрудиция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5</w:t>
            </w:r>
          </w:p>
        </w:tc>
      </w:tr>
      <w:tr w:rsidR="00407E84" w:rsidRPr="00407E84" w:rsidTr="00EC69A3">
        <w:tc>
          <w:tcPr>
            <w:tcW w:w="567" w:type="dxa"/>
            <w:shd w:val="clear" w:color="auto" w:fill="auto"/>
          </w:tcPr>
          <w:p w:rsidR="00073800" w:rsidRPr="00407E84" w:rsidRDefault="00073800" w:rsidP="00EC69A3">
            <w:pPr>
              <w:numPr>
                <w:ilvl w:val="0"/>
                <w:numId w:val="1"/>
              </w:numPr>
              <w:tabs>
                <w:tab w:val="clear" w:pos="720"/>
                <w:tab w:val="num" w:pos="96"/>
              </w:tabs>
              <w:ind w:left="96" w:hanging="96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.</w:t>
            </w:r>
          </w:p>
        </w:tc>
        <w:tc>
          <w:tcPr>
            <w:tcW w:w="6096" w:type="dxa"/>
            <w:shd w:val="clear" w:color="auto" w:fill="auto"/>
          </w:tcPr>
          <w:p w:rsidR="00073800" w:rsidRPr="00407E84" w:rsidRDefault="00073800" w:rsidP="00EC69A3">
            <w:pPr>
              <w:jc w:val="both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Культура публичного выступления, умение вести дискуссию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3</w:t>
            </w:r>
          </w:p>
        </w:tc>
      </w:tr>
      <w:tr w:rsidR="00407E84" w:rsidRPr="00407E84" w:rsidTr="00EC69A3">
        <w:tc>
          <w:tcPr>
            <w:tcW w:w="567" w:type="dxa"/>
            <w:shd w:val="clear" w:color="auto" w:fill="auto"/>
          </w:tcPr>
          <w:p w:rsidR="00073800" w:rsidRPr="00407E84" w:rsidRDefault="00073800" w:rsidP="00EC69A3">
            <w:pPr>
              <w:numPr>
                <w:ilvl w:val="0"/>
                <w:numId w:val="1"/>
              </w:numPr>
              <w:tabs>
                <w:tab w:val="clear" w:pos="720"/>
                <w:tab w:val="num" w:pos="-198"/>
              </w:tabs>
              <w:ind w:left="96" w:hanging="96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073800" w:rsidRPr="00407E84" w:rsidRDefault="00073800" w:rsidP="00EC69A3">
            <w:pPr>
              <w:jc w:val="both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Оригинальность выступления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4</w:t>
            </w:r>
          </w:p>
        </w:tc>
      </w:tr>
      <w:tr w:rsidR="00407E84" w:rsidRPr="00407E84" w:rsidTr="00EC69A3">
        <w:tc>
          <w:tcPr>
            <w:tcW w:w="6663" w:type="dxa"/>
            <w:gridSpan w:val="2"/>
            <w:shd w:val="clear" w:color="auto" w:fill="auto"/>
          </w:tcPr>
          <w:p w:rsidR="00073800" w:rsidRPr="00407E84" w:rsidRDefault="00073800" w:rsidP="00EC69A3">
            <w:pPr>
              <w:tabs>
                <w:tab w:val="num" w:pos="-198"/>
              </w:tabs>
              <w:jc w:val="center"/>
              <w:rPr>
                <w:b/>
                <w:sz w:val="24"/>
                <w:szCs w:val="24"/>
              </w:rPr>
            </w:pPr>
            <w:r w:rsidRPr="00407E84">
              <w:rPr>
                <w:b/>
                <w:sz w:val="24"/>
                <w:szCs w:val="24"/>
              </w:rPr>
              <w:lastRenderedPageBreak/>
              <w:t>Всего баллов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b/>
                <w:sz w:val="24"/>
                <w:szCs w:val="24"/>
              </w:rPr>
            </w:pPr>
            <w:r w:rsidRPr="00407E84">
              <w:rPr>
                <w:b/>
                <w:sz w:val="24"/>
                <w:szCs w:val="24"/>
              </w:rPr>
              <w:t>20</w:t>
            </w:r>
          </w:p>
        </w:tc>
      </w:tr>
    </w:tbl>
    <w:p w:rsidR="00073800" w:rsidRPr="00407E84" w:rsidRDefault="00073800" w:rsidP="00EC69A3">
      <w:pPr>
        <w:numPr>
          <w:ilvl w:val="0"/>
          <w:numId w:val="3"/>
        </w:numPr>
        <w:tabs>
          <w:tab w:val="clear" w:pos="720"/>
          <w:tab w:val="num" w:pos="0"/>
          <w:tab w:val="right" w:pos="1134"/>
        </w:tabs>
        <w:ind w:left="0" w:firstLine="709"/>
        <w:jc w:val="both"/>
        <w:rPr>
          <w:sz w:val="27"/>
          <w:szCs w:val="27"/>
        </w:rPr>
      </w:pPr>
      <w:r w:rsidRPr="00407E84">
        <w:rPr>
          <w:sz w:val="27"/>
          <w:szCs w:val="27"/>
        </w:rPr>
        <w:t>Выступление каждого конкурсанта оценивается независимо тремя группами экспертов, образованными из числа членов конкурсной комиссии. Итоговый балл формируется как среднее арифметическое результатов оценки каждой группы.</w:t>
      </w:r>
    </w:p>
    <w:p w:rsidR="00073800" w:rsidRPr="00407E84" w:rsidRDefault="00073800" w:rsidP="00EC69A3">
      <w:pPr>
        <w:numPr>
          <w:ilvl w:val="0"/>
          <w:numId w:val="3"/>
        </w:numPr>
        <w:tabs>
          <w:tab w:val="clear" w:pos="720"/>
          <w:tab w:val="num" w:pos="-142"/>
          <w:tab w:val="right" w:pos="1134"/>
        </w:tabs>
        <w:ind w:left="0" w:firstLine="709"/>
        <w:jc w:val="both"/>
        <w:rPr>
          <w:sz w:val="27"/>
          <w:szCs w:val="27"/>
        </w:rPr>
      </w:pPr>
      <w:r w:rsidRPr="00407E84">
        <w:rPr>
          <w:sz w:val="27"/>
          <w:szCs w:val="27"/>
        </w:rPr>
        <w:t xml:space="preserve">При наличии существенных расхождений в оценках выступлений конкурсантов, произведенных тремя группами экспертов (четыре </w:t>
      </w:r>
      <w:r w:rsidR="00A2057F" w:rsidRPr="00407E84">
        <w:rPr>
          <w:sz w:val="27"/>
          <w:szCs w:val="27"/>
        </w:rPr>
        <w:t xml:space="preserve">балла </w:t>
      </w:r>
      <w:r w:rsidRPr="00407E84">
        <w:rPr>
          <w:sz w:val="27"/>
          <w:szCs w:val="27"/>
        </w:rPr>
        <w:t xml:space="preserve">и более), для определения итогового балла не принимаются к рассмотрению результаты оценки выступлений, отличающиеся от оценок двух остальных экспертных групп на 4 </w:t>
      </w:r>
      <w:r w:rsidR="00A2057F" w:rsidRPr="00407E84">
        <w:rPr>
          <w:sz w:val="27"/>
          <w:szCs w:val="27"/>
        </w:rPr>
        <w:t xml:space="preserve">балла </w:t>
      </w:r>
      <w:r w:rsidRPr="00407E84">
        <w:rPr>
          <w:sz w:val="27"/>
          <w:szCs w:val="27"/>
        </w:rPr>
        <w:t xml:space="preserve">и более. При этом разница </w:t>
      </w:r>
      <w:r w:rsidR="00EC69A3" w:rsidRPr="00407E84">
        <w:rPr>
          <w:sz w:val="27"/>
          <w:szCs w:val="27"/>
        </w:rPr>
        <w:br/>
      </w:r>
      <w:r w:rsidRPr="00407E84">
        <w:rPr>
          <w:sz w:val="27"/>
          <w:szCs w:val="27"/>
        </w:rPr>
        <w:t xml:space="preserve">между остающимися результатами оценки должна быть минимально возможной. Из рассмотрения может быть изъята только одна из оценок экспертных групп. Если при изъятии из рассмотрения максимального </w:t>
      </w:r>
      <w:r w:rsidR="00A2057F" w:rsidRPr="00407E84">
        <w:rPr>
          <w:sz w:val="27"/>
          <w:szCs w:val="27"/>
        </w:rPr>
        <w:t xml:space="preserve">балла </w:t>
      </w:r>
      <w:r w:rsidRPr="00407E84">
        <w:rPr>
          <w:sz w:val="27"/>
          <w:szCs w:val="27"/>
        </w:rPr>
        <w:t>или минимального разница между остающимися результатами оценки одинакова, то предпочтение отдается более высокому сочетанию баллов.</w:t>
      </w:r>
    </w:p>
    <w:p w:rsidR="00073800" w:rsidRPr="00407E84" w:rsidRDefault="00073800" w:rsidP="00EC69A3">
      <w:pPr>
        <w:numPr>
          <w:ilvl w:val="0"/>
          <w:numId w:val="3"/>
        </w:numPr>
        <w:tabs>
          <w:tab w:val="clear" w:pos="720"/>
          <w:tab w:val="num" w:pos="-142"/>
          <w:tab w:val="right" w:pos="1134"/>
        </w:tabs>
        <w:ind w:left="0" w:firstLine="709"/>
        <w:jc w:val="both"/>
        <w:rPr>
          <w:sz w:val="27"/>
          <w:szCs w:val="27"/>
        </w:rPr>
      </w:pPr>
      <w:r w:rsidRPr="00407E84">
        <w:rPr>
          <w:sz w:val="27"/>
          <w:szCs w:val="27"/>
        </w:rPr>
        <w:t xml:space="preserve">Результаты оценивания выступлений конкурсантов на очной презентации экспертными группами оформляются протоколами. Итоговые результаты оценки очных презентаций утверждаются решением конкурсной комиссии. </w:t>
      </w:r>
    </w:p>
    <w:p w:rsidR="00073800" w:rsidRPr="00407E84" w:rsidRDefault="00073800" w:rsidP="00EC69A3">
      <w:pPr>
        <w:jc w:val="right"/>
        <w:rPr>
          <w:sz w:val="28"/>
          <w:szCs w:val="28"/>
        </w:rPr>
      </w:pPr>
    </w:p>
    <w:p w:rsidR="007E4130" w:rsidRPr="00407E84" w:rsidRDefault="007E4130" w:rsidP="00EC69A3">
      <w:pPr>
        <w:ind w:right="283"/>
      </w:pPr>
    </w:p>
    <w:sectPr w:rsidR="007E4130" w:rsidRPr="00407E84" w:rsidSect="00626021">
      <w:headerReference w:type="default" r:id="rId8"/>
      <w:pgSz w:w="11906" w:h="16838"/>
      <w:pgMar w:top="1134" w:right="141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940" w:rsidRDefault="00412940" w:rsidP="00626021">
      <w:r>
        <w:separator/>
      </w:r>
    </w:p>
  </w:endnote>
  <w:endnote w:type="continuationSeparator" w:id="0">
    <w:p w:rsidR="00412940" w:rsidRDefault="00412940" w:rsidP="00626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940" w:rsidRDefault="00412940" w:rsidP="00626021">
      <w:r>
        <w:separator/>
      </w:r>
    </w:p>
  </w:footnote>
  <w:footnote w:type="continuationSeparator" w:id="0">
    <w:p w:rsidR="00412940" w:rsidRDefault="00412940" w:rsidP="006260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6035563"/>
      <w:docPartObj>
        <w:docPartGallery w:val="Page Numbers (Top of Page)"/>
        <w:docPartUnique/>
      </w:docPartObj>
    </w:sdtPr>
    <w:sdtEndPr/>
    <w:sdtContent>
      <w:p w:rsidR="00626021" w:rsidRDefault="0062602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389C">
          <w:rPr>
            <w:noProof/>
          </w:rPr>
          <w:t>2</w:t>
        </w:r>
        <w:r>
          <w:fldChar w:fldCharType="end"/>
        </w:r>
      </w:p>
    </w:sdtContent>
  </w:sdt>
  <w:p w:rsidR="00626021" w:rsidRDefault="0062602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EA680A"/>
    <w:multiLevelType w:val="hybridMultilevel"/>
    <w:tmpl w:val="4DDC6C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690086"/>
    <w:multiLevelType w:val="hybridMultilevel"/>
    <w:tmpl w:val="73340DFA"/>
    <w:lvl w:ilvl="0" w:tplc="6D1C44D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3393C29"/>
    <w:multiLevelType w:val="hybridMultilevel"/>
    <w:tmpl w:val="24205380"/>
    <w:lvl w:ilvl="0" w:tplc="54E0A224">
      <w:start w:val="1"/>
      <w:numFmt w:val="decimal"/>
      <w:lvlText w:val="%1."/>
      <w:lvlJc w:val="left"/>
      <w:pPr>
        <w:tabs>
          <w:tab w:val="num" w:pos="357"/>
        </w:tabs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800"/>
    <w:rsid w:val="00073800"/>
    <w:rsid w:val="00083791"/>
    <w:rsid w:val="00266E91"/>
    <w:rsid w:val="00286F83"/>
    <w:rsid w:val="002F63C7"/>
    <w:rsid w:val="00311906"/>
    <w:rsid w:val="00407E84"/>
    <w:rsid w:val="00412940"/>
    <w:rsid w:val="0044389C"/>
    <w:rsid w:val="004A5C8F"/>
    <w:rsid w:val="0054426D"/>
    <w:rsid w:val="005510DA"/>
    <w:rsid w:val="00626021"/>
    <w:rsid w:val="007E4130"/>
    <w:rsid w:val="00936F4A"/>
    <w:rsid w:val="00A2057F"/>
    <w:rsid w:val="00AD2B1B"/>
    <w:rsid w:val="00AF03E3"/>
    <w:rsid w:val="00B84712"/>
    <w:rsid w:val="00BD26EF"/>
    <w:rsid w:val="00CA490C"/>
    <w:rsid w:val="00D755F5"/>
    <w:rsid w:val="00EC69A3"/>
    <w:rsid w:val="00F97BAD"/>
    <w:rsid w:val="00FF1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018D06-9368-4E6F-9EC9-8FBF0FB6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8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60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0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260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602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CA4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83A51-EA85-43E1-B307-AC9877B92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ShavaevaF</dc:creator>
  <cp:lastModifiedBy>Zalina</cp:lastModifiedBy>
  <cp:revision>2</cp:revision>
  <cp:lastPrinted>2021-04-19T12:53:00Z</cp:lastPrinted>
  <dcterms:created xsi:type="dcterms:W3CDTF">2025-04-15T14:17:00Z</dcterms:created>
  <dcterms:modified xsi:type="dcterms:W3CDTF">2025-04-15T14:17:00Z</dcterms:modified>
</cp:coreProperties>
</file>